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7C5635" w:rsidRDefault="003E32FC" w:rsidP="00A37735">
      <w:pPr>
        <w:jc w:val="center"/>
        <w:rPr>
          <w:rFonts w:ascii="Arial" w:hAnsi="Arial" w:cs="Arial"/>
        </w:rPr>
      </w:pPr>
      <w:r w:rsidRPr="007C5635">
        <w:rPr>
          <w:rFonts w:ascii="Arial" w:hAnsi="Arial" w:cs="Arial"/>
        </w:rPr>
        <w:t xml:space="preserve">GUÍA </w:t>
      </w:r>
    </w:p>
    <w:p w:rsidR="00A37735" w:rsidRDefault="00A37735" w:rsidP="00A37735">
      <w:pPr>
        <w:jc w:val="center"/>
        <w:rPr>
          <w:rFonts w:ascii="Arial" w:hAnsi="Arial" w:cs="Arial"/>
        </w:rPr>
      </w:pPr>
    </w:p>
    <w:p w:rsidR="007C5635" w:rsidRPr="007C5635" w:rsidRDefault="007C56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3E32FC" w:rsidP="00A37735">
      <w:pPr>
        <w:jc w:val="center"/>
        <w:rPr>
          <w:rFonts w:ascii="Arial" w:hAnsi="Arial" w:cs="Arial"/>
        </w:rPr>
      </w:pPr>
      <w:r w:rsidRPr="007C5635">
        <w:rPr>
          <w:rFonts w:ascii="Arial" w:hAnsi="Arial" w:cs="Arial"/>
        </w:rPr>
        <w:t>CÁLC</w:t>
      </w:r>
      <w:r>
        <w:rPr>
          <w:rFonts w:ascii="Arial" w:hAnsi="Arial" w:cs="Arial"/>
        </w:rPr>
        <w:t>ULO DE RECAUDOS POR ESTAMPILLA UNIVERSIDAD DEL C</w:t>
      </w:r>
      <w:r w:rsidRPr="007C5635">
        <w:rPr>
          <w:rFonts w:ascii="Arial" w:hAnsi="Arial" w:cs="Arial"/>
        </w:rPr>
        <w:t>AUCA 180 AÑOS DE PRECIOS CORRIENTES (NOMINALES) A PRECIOS CONSTANTES (REALES) DEL AÑO BASE, DE CONFORMIDAD CON PARÁGRAFO ÚNICO, ARTÍCULO QUINTO DE LA ORDENANZA NÚMERO 075 DE 2008 DEL 03 DE DICIEMBRE DE 2008, EN CONCORDANCIA CON EL ARTÍCULO 2 DE LA LEY 1177 DEL 27 DE DICIEMBRE DE 2007</w:t>
      </w: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A37735" w:rsidP="00A37735">
      <w:pPr>
        <w:jc w:val="center"/>
        <w:rPr>
          <w:rFonts w:ascii="Arial" w:hAnsi="Arial" w:cs="Arial"/>
        </w:rPr>
      </w:pPr>
    </w:p>
    <w:p w:rsidR="00A37735" w:rsidRPr="007C5635" w:rsidRDefault="003E32FC" w:rsidP="00A37735">
      <w:pPr>
        <w:jc w:val="center"/>
        <w:rPr>
          <w:rFonts w:ascii="Arial" w:hAnsi="Arial" w:cs="Arial"/>
        </w:rPr>
      </w:pPr>
      <w:r w:rsidRPr="007C5635">
        <w:rPr>
          <w:rFonts w:ascii="Arial" w:hAnsi="Arial" w:cs="Arial"/>
        </w:rPr>
        <w:t>POPAYÁN, DICIEMBRE DE 2020</w:t>
      </w:r>
    </w:p>
    <w:p w:rsidR="00A37735" w:rsidRPr="007C5635" w:rsidRDefault="00A37735" w:rsidP="00A37735">
      <w:pPr>
        <w:jc w:val="both"/>
        <w:rPr>
          <w:rFonts w:ascii="Arial" w:hAnsi="Arial" w:cs="Arial"/>
        </w:rPr>
      </w:pPr>
    </w:p>
    <w:p w:rsidR="00A37735" w:rsidRPr="007C5635" w:rsidRDefault="00A37735" w:rsidP="00A37735">
      <w:pPr>
        <w:jc w:val="both"/>
        <w:rPr>
          <w:rFonts w:ascii="Arial" w:hAnsi="Arial" w:cs="Arial"/>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br w:type="page"/>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b/>
          <w:sz w:val="22"/>
          <w:szCs w:val="22"/>
        </w:rPr>
      </w:pPr>
      <w:r w:rsidRPr="00A37735">
        <w:rPr>
          <w:rFonts w:ascii="Arial" w:hAnsi="Arial" w:cs="Arial"/>
          <w:b/>
          <w:sz w:val="22"/>
          <w:szCs w:val="22"/>
        </w:rPr>
        <w:t>CÁLCULO DE RECAUDOS POR ESTAMPILLA UNIVERSIDAD DEL CAUCA 180 AÑOS DE PRECIOS CORRIENTES (NOMINALES) A PRECIOS CONSTANTES (REALES) DEL AÑO BASE</w:t>
      </w:r>
    </w:p>
    <w:p w:rsidR="00A37735" w:rsidRPr="00A37735" w:rsidRDefault="00A37735" w:rsidP="00A37735">
      <w:pPr>
        <w:jc w:val="both"/>
        <w:rPr>
          <w:rFonts w:ascii="Arial" w:hAnsi="Arial" w:cs="Arial"/>
          <w:b/>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Calcular los recaudos a precios constantes del año 2006 significa deflactar los recaudos a precios corrientes usando la inflación acumulada (desde el año 2007 hasta el año corriente).</w:t>
      </w:r>
    </w:p>
    <w:p w:rsidR="00A37735" w:rsidRPr="00A37735" w:rsidRDefault="00A37735" w:rsidP="00A37735">
      <w:pPr>
        <w:jc w:val="both"/>
        <w:rPr>
          <w:rFonts w:ascii="Arial" w:hAnsi="Arial" w:cs="Arial"/>
          <w:sz w:val="22"/>
          <w:szCs w:val="22"/>
        </w:rPr>
      </w:pPr>
    </w:p>
    <w:p w:rsidR="00A37735" w:rsidRPr="00A37735" w:rsidRDefault="00A37735" w:rsidP="00A37735">
      <w:pPr>
        <w:jc w:val="center"/>
        <w:rPr>
          <w:rFonts w:ascii="Arial" w:hAnsi="Arial" w:cs="Arial"/>
          <w:sz w:val="22"/>
          <w:szCs w:val="22"/>
        </w:rPr>
      </w:pPr>
      <w:r w:rsidRPr="00A37735">
        <w:rPr>
          <w:rFonts w:ascii="Arial" w:hAnsi="Arial" w:cs="Arial"/>
          <w:b/>
          <w:i/>
          <w:noProof/>
          <w:sz w:val="22"/>
          <w:szCs w:val="22"/>
          <w:vertAlign w:val="subscript"/>
          <w:lang w:val="en-US" w:eastAsia="en-US"/>
        </w:rPr>
        <w:drawing>
          <wp:inline distT="0" distB="0" distL="114300" distR="114300" wp14:anchorId="07C53114" wp14:editId="32F88284">
            <wp:extent cx="3063875" cy="45021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3063875" cy="450215"/>
                    </a:xfrm>
                    <a:prstGeom prst="rect">
                      <a:avLst/>
                    </a:prstGeom>
                    <a:ln/>
                  </pic:spPr>
                </pic:pic>
              </a:graphicData>
            </a:graphic>
          </wp:inline>
        </w:drawing>
      </w:r>
    </w:p>
    <w:p w:rsidR="00A37735" w:rsidRPr="00A37735" w:rsidRDefault="00A37735" w:rsidP="00A37735">
      <w:pPr>
        <w:jc w:val="both"/>
        <w:rPr>
          <w:rFonts w:ascii="Arial" w:hAnsi="Arial" w:cs="Arial"/>
          <w:sz w:val="22"/>
          <w:szCs w:val="22"/>
        </w:rPr>
      </w:pPr>
      <w:r w:rsidRPr="00A37735">
        <w:rPr>
          <w:rFonts w:ascii="Arial" w:hAnsi="Arial" w:cs="Arial"/>
          <w:sz w:val="22"/>
          <w:szCs w:val="22"/>
        </w:rPr>
        <w:t>A su vez, la inflación acumulada se calcula:</w:t>
      </w:r>
    </w:p>
    <w:p w:rsidR="00A37735" w:rsidRPr="00A37735" w:rsidRDefault="00A37735" w:rsidP="00A37735">
      <w:pPr>
        <w:jc w:val="center"/>
        <w:rPr>
          <w:rFonts w:ascii="Arial" w:hAnsi="Arial" w:cs="Arial"/>
          <w:b/>
          <w:sz w:val="22"/>
          <w:szCs w:val="22"/>
        </w:rPr>
      </w:pPr>
      <w:r w:rsidRPr="00A37735">
        <w:rPr>
          <w:rFonts w:ascii="Arial" w:hAnsi="Arial" w:cs="Arial"/>
          <w:b/>
          <w:noProof/>
          <w:sz w:val="22"/>
          <w:szCs w:val="22"/>
          <w:vertAlign w:val="subscript"/>
          <w:lang w:val="en-US" w:eastAsia="en-US"/>
        </w:rPr>
        <w:drawing>
          <wp:inline distT="0" distB="0" distL="114300" distR="114300" wp14:anchorId="02B3C8EA" wp14:editId="462F6D02">
            <wp:extent cx="5172710" cy="16383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172710" cy="163830"/>
                    </a:xfrm>
                    <a:prstGeom prst="rect">
                      <a:avLst/>
                    </a:prstGeom>
                    <a:ln/>
                  </pic:spPr>
                </pic:pic>
              </a:graphicData>
            </a:graphic>
          </wp:inline>
        </w:drawing>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De esta manera, si se requiere calcular el recaudo del año 2007 a precios constantes del año 2006 se debe dividir dicho importe entre (1 + inflación del año 2007). Sin embargo, si se requiere calcular el recaudo del año 2008 a precios constantes del año 2006, es necesario dividir dicho importe entre la inflación acumulada de los años 2007 y 2008, dicha inflación se calcula de la siguiente manera: inflación acumulada años 2007 y 2008 = (1 + inflación año 2007) x (1 + inflación año 2008) -1.  El cálculo de la inflación acumulada desde el año 2007 hasta el año 2009 (para efectos de deflactar el recaudo del año 2009) se calcula de la siguiente manera: inflación acumulada años 2007 hasta 2009 = (1 + inflación acumulada años 2007 y 2008) x (1 + inflación año 2009) -1</w:t>
      </w:r>
    </w:p>
    <w:p w:rsidR="00A37735" w:rsidRPr="00A37735" w:rsidRDefault="00631D0A" w:rsidP="00A37735">
      <w:pPr>
        <w:jc w:val="both"/>
        <w:rPr>
          <w:rFonts w:ascii="Arial" w:hAnsi="Arial" w:cs="Arial"/>
          <w:sz w:val="22"/>
          <w:szCs w:val="22"/>
        </w:rPr>
      </w:pPr>
      <w:r w:rsidRPr="00A37735">
        <w:rPr>
          <w:rFonts w:ascii="Arial" w:hAnsi="Arial" w:cs="Arial"/>
          <w:noProof/>
          <w:sz w:val="22"/>
          <w:szCs w:val="22"/>
          <w:lang w:val="en-US" w:eastAsia="en-US"/>
        </w:rPr>
        <w:drawing>
          <wp:anchor distT="0" distB="0" distL="114300" distR="114300" simplePos="0" relativeHeight="251658240" behindDoc="0" locked="0" layoutInCell="1" allowOverlap="1" wp14:anchorId="5E34CF18" wp14:editId="2AF9AF00">
            <wp:simplePos x="0" y="0"/>
            <wp:positionH relativeFrom="column">
              <wp:posOffset>2070735</wp:posOffset>
            </wp:positionH>
            <wp:positionV relativeFrom="paragraph">
              <wp:posOffset>103505</wp:posOffset>
            </wp:positionV>
            <wp:extent cx="1849755" cy="2849245"/>
            <wp:effectExtent l="0" t="0" r="0" b="8255"/>
            <wp:wrapSquare wrapText="bothSides"/>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849755" cy="2849245"/>
                    </a:xfrm>
                    <a:prstGeom prst="rect">
                      <a:avLst/>
                    </a:prstGeom>
                    <a:ln/>
                  </pic:spPr>
                </pic:pic>
              </a:graphicData>
            </a:graphic>
          </wp:anchor>
        </w:drawing>
      </w:r>
    </w:p>
    <w:p w:rsidR="00A37735" w:rsidRDefault="007C5635" w:rsidP="007C5635">
      <w:pPr>
        <w:rPr>
          <w:rFonts w:ascii="Arial" w:hAnsi="Arial" w:cs="Arial"/>
          <w:sz w:val="22"/>
          <w:szCs w:val="22"/>
        </w:rPr>
      </w:pPr>
      <w:r>
        <w:rPr>
          <w:rFonts w:ascii="Arial" w:hAnsi="Arial" w:cs="Arial"/>
          <w:sz w:val="22"/>
          <w:szCs w:val="22"/>
        </w:rPr>
        <w:br w:type="textWrapping" w:clear="all"/>
      </w:r>
    </w:p>
    <w:p w:rsidR="00A37735" w:rsidRDefault="00A37735" w:rsidP="00A37735">
      <w:pPr>
        <w:jc w:val="center"/>
        <w:rPr>
          <w:rFonts w:ascii="Arial" w:hAnsi="Arial" w:cs="Arial"/>
          <w:sz w:val="22"/>
          <w:szCs w:val="22"/>
        </w:rPr>
      </w:pPr>
    </w:p>
    <w:p w:rsidR="00A37735" w:rsidRDefault="00A37735" w:rsidP="00A37735">
      <w:pPr>
        <w:jc w:val="center"/>
        <w:rPr>
          <w:rFonts w:ascii="Arial" w:hAnsi="Arial" w:cs="Arial"/>
          <w:sz w:val="22"/>
          <w:szCs w:val="22"/>
        </w:rPr>
      </w:pPr>
    </w:p>
    <w:p w:rsidR="00A37735" w:rsidRDefault="00A37735" w:rsidP="00A37735">
      <w:pPr>
        <w:jc w:val="center"/>
        <w:rPr>
          <w:rFonts w:ascii="Arial" w:hAnsi="Arial" w:cs="Arial"/>
          <w:sz w:val="22"/>
          <w:szCs w:val="22"/>
        </w:rPr>
      </w:pPr>
    </w:p>
    <w:p w:rsidR="00A37735" w:rsidRPr="00A37735" w:rsidRDefault="00A37735" w:rsidP="00A37735">
      <w:pPr>
        <w:jc w:val="center"/>
        <w:rPr>
          <w:rFonts w:ascii="Arial" w:hAnsi="Arial" w:cs="Arial"/>
          <w:sz w:val="22"/>
          <w:szCs w:val="22"/>
        </w:rPr>
      </w:pPr>
    </w:p>
    <w:p w:rsidR="00A37735" w:rsidRPr="00A37735" w:rsidRDefault="00A37735" w:rsidP="00A37735">
      <w:pPr>
        <w:ind w:left="1418" w:firstLine="709"/>
        <w:jc w:val="both"/>
        <w:rPr>
          <w:rFonts w:ascii="Arial" w:hAnsi="Arial" w:cs="Arial"/>
          <w:sz w:val="22"/>
          <w:szCs w:val="22"/>
        </w:rPr>
      </w:pPr>
    </w:p>
    <w:p w:rsidR="00A37735" w:rsidRPr="00A37735" w:rsidRDefault="00A37735" w:rsidP="00A37735">
      <w:pPr>
        <w:ind w:left="1418" w:firstLine="709"/>
        <w:jc w:val="both"/>
        <w:rPr>
          <w:rFonts w:ascii="Arial" w:hAnsi="Arial" w:cs="Arial"/>
          <w:sz w:val="22"/>
          <w:szCs w:val="22"/>
        </w:rPr>
      </w:pPr>
      <w:r w:rsidRPr="00A37735">
        <w:rPr>
          <w:rFonts w:ascii="Arial" w:hAnsi="Arial" w:cs="Arial"/>
          <w:sz w:val="22"/>
          <w:szCs w:val="22"/>
        </w:rPr>
        <w:t>Fuente: DANE</w:t>
      </w:r>
    </w:p>
    <w:p w:rsidR="00A37735" w:rsidRPr="00A37735" w:rsidRDefault="00A37735" w:rsidP="00A37735">
      <w:pPr>
        <w:jc w:val="both"/>
        <w:rPr>
          <w:rFonts w:ascii="Arial" w:hAnsi="Arial" w:cs="Arial"/>
          <w:sz w:val="22"/>
          <w:szCs w:val="22"/>
        </w:rPr>
      </w:pPr>
      <w:r w:rsidRPr="00A37735">
        <w:rPr>
          <w:rFonts w:ascii="Arial" w:hAnsi="Arial" w:cs="Arial"/>
          <w:sz w:val="22"/>
          <w:szCs w:val="22"/>
        </w:rPr>
        <w:t>Así entonces, la inflación acumulada del año 2008 se calcula de la siguiente manera:</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Inflación acumulada años 2007 y 2008= (1+ 5,69%) x (1+ 7,67%) -1= 13,80%</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Y la inflación acumulada desde el año 2007 hasta el año 2009 se calcula de la siguiente manera:</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Inflación acumulada años 2007- 2009= (1+ 13,80%) x (1+ 2,00%) -1= 16,07%.</w:t>
      </w:r>
    </w:p>
    <w:p w:rsidR="00A37735" w:rsidRPr="00A37735" w:rsidRDefault="00A37735" w:rsidP="00A37735">
      <w:pPr>
        <w:jc w:val="both"/>
        <w:rPr>
          <w:rFonts w:ascii="Arial" w:hAnsi="Arial" w:cs="Arial"/>
          <w:sz w:val="22"/>
          <w:szCs w:val="22"/>
        </w:rPr>
      </w:pPr>
      <w:r w:rsidRPr="00A37735">
        <w:rPr>
          <w:rFonts w:ascii="Arial" w:hAnsi="Arial" w:cs="Arial"/>
          <w:sz w:val="22"/>
          <w:szCs w:val="22"/>
        </w:rPr>
        <w:t>La inflación acumulada desde el año 2007 hasta cada uno de los años reportados se presenta a continuación:</w:t>
      </w:r>
    </w:p>
    <w:p w:rsidR="00A37735" w:rsidRPr="00A37735" w:rsidRDefault="00A37735" w:rsidP="00A37735">
      <w:pPr>
        <w:jc w:val="both"/>
        <w:rPr>
          <w:rFonts w:ascii="Arial" w:hAnsi="Arial" w:cs="Arial"/>
          <w:sz w:val="22"/>
          <w:szCs w:val="22"/>
        </w:rPr>
      </w:pPr>
    </w:p>
    <w:p w:rsidR="00A37735" w:rsidRDefault="00A37735" w:rsidP="00A37735">
      <w:pPr>
        <w:jc w:val="center"/>
        <w:rPr>
          <w:rFonts w:ascii="Arial" w:hAnsi="Arial" w:cs="Arial"/>
          <w:sz w:val="22"/>
          <w:szCs w:val="22"/>
        </w:rPr>
      </w:pPr>
      <w:r w:rsidRPr="00A37735">
        <w:rPr>
          <w:rFonts w:ascii="Arial" w:hAnsi="Arial" w:cs="Arial"/>
          <w:noProof/>
          <w:sz w:val="22"/>
          <w:szCs w:val="22"/>
          <w:lang w:val="en-US" w:eastAsia="en-US"/>
        </w:rPr>
        <w:drawing>
          <wp:inline distT="0" distB="0" distL="0" distR="0" wp14:anchorId="1697E3BE" wp14:editId="5C08A3F3">
            <wp:extent cx="1818048" cy="25115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18048" cy="2511570"/>
                    </a:xfrm>
                    <a:prstGeom prst="rect">
                      <a:avLst/>
                    </a:prstGeom>
                    <a:ln/>
                  </pic:spPr>
                </pic:pic>
              </a:graphicData>
            </a:graphic>
          </wp:inline>
        </w:drawing>
      </w:r>
    </w:p>
    <w:p w:rsidR="00A37735" w:rsidRDefault="00A37735" w:rsidP="00A37735">
      <w:pPr>
        <w:jc w:val="center"/>
        <w:rPr>
          <w:rFonts w:ascii="Arial" w:hAnsi="Arial" w:cs="Arial"/>
          <w:sz w:val="22"/>
          <w:szCs w:val="22"/>
        </w:rPr>
      </w:pPr>
    </w:p>
    <w:p w:rsidR="00631D0A" w:rsidRDefault="00631D0A" w:rsidP="00A37735">
      <w:pPr>
        <w:jc w:val="center"/>
        <w:rPr>
          <w:rFonts w:ascii="Arial" w:hAnsi="Arial" w:cs="Arial"/>
          <w:sz w:val="22"/>
          <w:szCs w:val="22"/>
        </w:rPr>
      </w:pPr>
    </w:p>
    <w:p w:rsidR="00631D0A" w:rsidRDefault="00631D0A" w:rsidP="00A37735">
      <w:pPr>
        <w:jc w:val="center"/>
        <w:rPr>
          <w:rFonts w:ascii="Arial" w:hAnsi="Arial" w:cs="Arial"/>
          <w:sz w:val="22"/>
          <w:szCs w:val="22"/>
        </w:rPr>
      </w:pPr>
    </w:p>
    <w:p w:rsidR="00631D0A" w:rsidRDefault="00631D0A" w:rsidP="00A37735">
      <w:pPr>
        <w:jc w:val="center"/>
        <w:rPr>
          <w:rFonts w:ascii="Arial" w:hAnsi="Arial" w:cs="Arial"/>
          <w:sz w:val="22"/>
          <w:szCs w:val="22"/>
        </w:rPr>
      </w:pPr>
    </w:p>
    <w:p w:rsidR="00631D0A" w:rsidRPr="00A37735" w:rsidRDefault="00631D0A" w:rsidP="00A37735">
      <w:pPr>
        <w:jc w:val="center"/>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Los recaudos por conceptos de estampillas a precios corrientes se presentan a continuación:</w:t>
      </w:r>
    </w:p>
    <w:p w:rsidR="00A37735" w:rsidRPr="00A37735" w:rsidRDefault="00A37735" w:rsidP="00A37735">
      <w:pPr>
        <w:jc w:val="both"/>
        <w:rPr>
          <w:rFonts w:ascii="Arial" w:hAnsi="Arial" w:cs="Arial"/>
          <w:sz w:val="22"/>
          <w:szCs w:val="22"/>
        </w:rPr>
      </w:pPr>
    </w:p>
    <w:p w:rsidR="00A37735" w:rsidRDefault="00A37735" w:rsidP="00A37735">
      <w:pPr>
        <w:jc w:val="center"/>
        <w:rPr>
          <w:rFonts w:ascii="Arial" w:hAnsi="Arial" w:cs="Arial"/>
          <w:sz w:val="22"/>
          <w:szCs w:val="22"/>
        </w:rPr>
      </w:pPr>
      <w:r w:rsidRPr="00A37735">
        <w:rPr>
          <w:rFonts w:ascii="Arial" w:hAnsi="Arial" w:cs="Arial"/>
          <w:noProof/>
          <w:sz w:val="22"/>
          <w:szCs w:val="22"/>
          <w:lang w:val="en-US" w:eastAsia="en-US"/>
        </w:rPr>
        <w:lastRenderedPageBreak/>
        <w:drawing>
          <wp:inline distT="0" distB="0" distL="0" distR="0" wp14:anchorId="52867665" wp14:editId="0B78E7B9">
            <wp:extent cx="1872200" cy="2635538"/>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72200" cy="2635538"/>
                    </a:xfrm>
                    <a:prstGeom prst="rect">
                      <a:avLst/>
                    </a:prstGeom>
                    <a:ln/>
                  </pic:spPr>
                </pic:pic>
              </a:graphicData>
            </a:graphic>
          </wp:inline>
        </w:drawing>
      </w:r>
    </w:p>
    <w:p w:rsidR="00A37735" w:rsidRPr="00A37735" w:rsidRDefault="00A37735" w:rsidP="00A37735">
      <w:pPr>
        <w:jc w:val="center"/>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El cálculo a precios constantes del año 2006 del recaudo del año 2009 se realiza de la siguiente manera:</w:t>
      </w:r>
    </w:p>
    <w:p w:rsidR="00A37735" w:rsidRPr="00A37735" w:rsidRDefault="00A37735" w:rsidP="00A37735">
      <w:pPr>
        <w:jc w:val="both"/>
        <w:rPr>
          <w:rFonts w:ascii="Arial" w:hAnsi="Arial" w:cs="Arial"/>
          <w:sz w:val="22"/>
          <w:szCs w:val="22"/>
        </w:rPr>
      </w:pPr>
    </w:p>
    <w:p w:rsidR="00A37735" w:rsidRPr="00A37735" w:rsidRDefault="00A37735" w:rsidP="00A37735">
      <w:pPr>
        <w:jc w:val="center"/>
        <w:rPr>
          <w:rFonts w:ascii="Arial" w:hAnsi="Arial" w:cs="Arial"/>
          <w:sz w:val="22"/>
          <w:szCs w:val="22"/>
        </w:rPr>
      </w:pPr>
      <w:r w:rsidRPr="00A37735">
        <w:rPr>
          <w:rFonts w:ascii="Arial" w:hAnsi="Arial" w:cs="Arial"/>
          <w:b/>
          <w:noProof/>
          <w:sz w:val="22"/>
          <w:szCs w:val="22"/>
          <w:vertAlign w:val="subscript"/>
          <w:lang w:val="en-US" w:eastAsia="en-US"/>
        </w:rPr>
        <w:drawing>
          <wp:inline distT="0" distB="0" distL="114300" distR="114300" wp14:anchorId="385E4E51" wp14:editId="14EF566A">
            <wp:extent cx="3609975" cy="3683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609975" cy="368300"/>
                    </a:xfrm>
                    <a:prstGeom prst="rect">
                      <a:avLst/>
                    </a:prstGeom>
                    <a:ln/>
                  </pic:spPr>
                </pic:pic>
              </a:graphicData>
            </a:graphic>
          </wp:inline>
        </w:drawing>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A continuación, se presenta el recaudo por estampillas a precios corrientes del año 2006.</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p>
    <w:p w:rsidR="00A37735" w:rsidRPr="00A37735" w:rsidRDefault="00A37735" w:rsidP="00A37735">
      <w:pPr>
        <w:jc w:val="center"/>
        <w:rPr>
          <w:rFonts w:ascii="Arial" w:hAnsi="Arial" w:cs="Arial"/>
          <w:sz w:val="22"/>
          <w:szCs w:val="22"/>
        </w:rPr>
      </w:pPr>
      <w:r w:rsidRPr="00A37735">
        <w:rPr>
          <w:rFonts w:ascii="Arial" w:hAnsi="Arial" w:cs="Arial"/>
          <w:noProof/>
          <w:sz w:val="22"/>
          <w:szCs w:val="22"/>
          <w:lang w:val="en-US" w:eastAsia="en-US"/>
        </w:rPr>
        <w:drawing>
          <wp:inline distT="0" distB="0" distL="0" distR="0" wp14:anchorId="3CD2E3F2" wp14:editId="017F80AD">
            <wp:extent cx="2328545" cy="304101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28545" cy="3041015"/>
                    </a:xfrm>
                    <a:prstGeom prst="rect">
                      <a:avLst/>
                    </a:prstGeom>
                    <a:ln/>
                  </pic:spPr>
                </pic:pic>
              </a:graphicData>
            </a:graphic>
          </wp:inline>
        </w:drawing>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lastRenderedPageBreak/>
        <w:t>Para los años siguientes basta con actualizar la inflación acumulada con el IPC anual reportado por el DANE.</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La aplicación de la fórmula por los años siguientes se requiere actualizar la inflación acumulada el IPC certificado por el Departamento Administrativo Nacional de Estadística DANE desde el año 2007 hasta el año en el cual se vaya a realizar el respectivo cálculo de precios corrientes a precios constantes del año base de 2006 (Parágrafo Único, Artículo quinto de la Ordenanza 075 de 2008).</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 xml:space="preserve">Teniendo en cuenta que el Parágrafo Único, Artículo quinto de la ordenanza 075 de 2008, estableció el recaudo hasta un monto total por estampilla Universidad del Cauca 180 años por la suma de cuarenta mil millones de pesos ($40.000.000.000) a precios constantes de 2006. </w:t>
      </w:r>
    </w:p>
    <w:p w:rsidR="00A37735" w:rsidRPr="00A37735" w:rsidRDefault="00A37735" w:rsidP="00A37735">
      <w:pPr>
        <w:jc w:val="both"/>
        <w:rPr>
          <w:rFonts w:ascii="Arial" w:hAnsi="Arial" w:cs="Arial"/>
          <w:sz w:val="22"/>
          <w:szCs w:val="22"/>
        </w:rPr>
      </w:pPr>
    </w:p>
    <w:p w:rsidR="00A37735" w:rsidRPr="00A37735" w:rsidRDefault="00A37735" w:rsidP="00A37735">
      <w:pPr>
        <w:jc w:val="both"/>
        <w:rPr>
          <w:rFonts w:ascii="Arial" w:hAnsi="Arial" w:cs="Arial"/>
          <w:sz w:val="22"/>
          <w:szCs w:val="22"/>
        </w:rPr>
      </w:pPr>
      <w:r w:rsidRPr="00A37735">
        <w:rPr>
          <w:rFonts w:ascii="Arial" w:hAnsi="Arial" w:cs="Arial"/>
          <w:sz w:val="22"/>
          <w:szCs w:val="22"/>
        </w:rPr>
        <w:t>Para el reconocimiento contable a precios constantes del monto total establecido por la ordenanza 075 de 2008, es necesario el reconocimiento en cuentas deudoras de control, valor que se amortizará a diciembre de cada año con los valores a precios constantes de lo efectivamente recaudado y registrado en el Sistema Financiero Finanzas Plus, previa certificación expedida por el Profesional Especializado – Tesorero de la Universidad del Cauca. Una vez el valor recaudado y calculado a precios constantes alcance la cuantía establecida en la ordenanza 075 de 2008, el Profesional Especializado – Tesorero informará a las instancias pertinentes para la suspensión y liquidación del recaudo por concepto de Estampilla Universidad del Cauca 180 años.</w:t>
      </w: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r w:rsidRPr="00A37735">
        <w:rPr>
          <w:rFonts w:ascii="Arial" w:hAnsi="Arial" w:cs="Arial"/>
          <w:sz w:val="22"/>
          <w:szCs w:val="22"/>
        </w:rPr>
        <w:t>ALMA RUBIELA ESTRADA MOSQUERA</w:t>
      </w:r>
    </w:p>
    <w:p w:rsidR="00A37735" w:rsidRPr="00A37735" w:rsidRDefault="00A37735" w:rsidP="00A37735">
      <w:pPr>
        <w:rPr>
          <w:rFonts w:ascii="Arial" w:hAnsi="Arial" w:cs="Arial"/>
          <w:sz w:val="22"/>
          <w:szCs w:val="22"/>
        </w:rPr>
      </w:pPr>
      <w:r w:rsidRPr="00A37735">
        <w:rPr>
          <w:rFonts w:ascii="Arial" w:hAnsi="Arial" w:cs="Arial"/>
          <w:sz w:val="22"/>
          <w:szCs w:val="22"/>
        </w:rPr>
        <w:t>Profesional Especializada (E)</w:t>
      </w:r>
    </w:p>
    <w:p w:rsidR="00A37735" w:rsidRPr="00A37735" w:rsidRDefault="00A37735" w:rsidP="00A37735">
      <w:pPr>
        <w:rPr>
          <w:rFonts w:ascii="Arial" w:hAnsi="Arial" w:cs="Arial"/>
          <w:sz w:val="22"/>
          <w:szCs w:val="22"/>
        </w:rPr>
      </w:pPr>
      <w:r w:rsidRPr="00A37735">
        <w:rPr>
          <w:rFonts w:ascii="Arial" w:hAnsi="Arial" w:cs="Arial"/>
          <w:sz w:val="22"/>
          <w:szCs w:val="22"/>
        </w:rPr>
        <w:t>División de Gestión Financiera – Grupo de Gestión Contable</w:t>
      </w:r>
    </w:p>
    <w:p w:rsidR="00A37735" w:rsidRPr="00A37735" w:rsidRDefault="00A37735" w:rsidP="00A37735">
      <w:pPr>
        <w:rPr>
          <w:rFonts w:ascii="Arial" w:hAnsi="Arial" w:cs="Arial"/>
          <w:sz w:val="22"/>
          <w:szCs w:val="22"/>
        </w:rPr>
      </w:pPr>
    </w:p>
    <w:p w:rsidR="00A37735" w:rsidRPr="00A37735" w:rsidRDefault="00A37735" w:rsidP="00A37735">
      <w:pPr>
        <w:rPr>
          <w:rFonts w:ascii="Arial" w:hAnsi="Arial" w:cs="Arial"/>
          <w:sz w:val="22"/>
          <w:szCs w:val="22"/>
        </w:rPr>
      </w:pPr>
      <w:bookmarkStart w:id="0" w:name="_gjdgxs" w:colFirst="0" w:colLast="0"/>
      <w:bookmarkEnd w:id="0"/>
      <w:r w:rsidRPr="00A37735">
        <w:rPr>
          <w:rFonts w:ascii="Arial" w:hAnsi="Arial" w:cs="Arial"/>
          <w:sz w:val="22"/>
          <w:szCs w:val="22"/>
        </w:rPr>
        <w:t>Proyectó: Elizabeth Astaiza P.</w:t>
      </w:r>
      <w:bookmarkStart w:id="1" w:name="_GoBack"/>
      <w:bookmarkEnd w:id="1"/>
    </w:p>
    <w:p w:rsidR="004A368E" w:rsidRPr="00A37735" w:rsidRDefault="004A368E" w:rsidP="00A37735">
      <w:pPr>
        <w:rPr>
          <w:rFonts w:ascii="Arial" w:eastAsia="Arial" w:hAnsi="Arial" w:cs="Arial"/>
          <w:sz w:val="22"/>
          <w:szCs w:val="22"/>
        </w:rPr>
      </w:pPr>
    </w:p>
    <w:sectPr w:rsidR="004A368E" w:rsidRPr="00A37735" w:rsidSect="00CB031E">
      <w:headerReference w:type="even" r:id="rId13"/>
      <w:headerReference w:type="default" r:id="rId14"/>
      <w:footerReference w:type="default" r:id="rId15"/>
      <w:headerReference w:type="first" r:id="rId16"/>
      <w:footerReference w:type="first" r:id="rId17"/>
      <w:pgSz w:w="12240" w:h="15840"/>
      <w:pgMar w:top="1526" w:right="1701" w:bottom="1361" w:left="1701"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90" w:rsidRDefault="00EC6E90">
      <w:r>
        <w:separator/>
      </w:r>
    </w:p>
  </w:endnote>
  <w:endnote w:type="continuationSeparator" w:id="0">
    <w:p w:rsidR="00EC6E90" w:rsidRDefault="00EC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E" w:rsidRDefault="00D328BF">
    <w:pPr>
      <w:pBdr>
        <w:top w:val="nil"/>
        <w:left w:val="nil"/>
        <w:bottom w:val="nil"/>
        <w:right w:val="nil"/>
        <w:between w:val="nil"/>
      </w:pBdr>
      <w:tabs>
        <w:tab w:val="center" w:pos="4320"/>
        <w:tab w:val="right" w:pos="8640"/>
      </w:tabs>
      <w:rPr>
        <w:rFonts w:ascii="Arial" w:eastAsia="Arial" w:hAnsi="Arial" w:cs="Arial"/>
        <w:color w:val="000000"/>
        <w:sz w:val="16"/>
        <w:szCs w:val="16"/>
      </w:rPr>
    </w:pPr>
    <w:r>
      <w:rPr>
        <w:color w:val="000000"/>
      </w:rPr>
      <w:tab/>
    </w:r>
    <w:r>
      <w:rPr>
        <w:noProof/>
        <w:lang w:val="en-US" w:eastAsia="en-US"/>
      </w:rPr>
      <mc:AlternateContent>
        <mc:Choice Requires="wpg">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-12699</wp:posOffset>
              </wp:positionV>
              <wp:extent cx="5486400" cy="57150"/>
              <wp:effectExtent l="0" t="0" r="0" b="0"/>
              <wp:wrapNone/>
              <wp:docPr id="3" name="Conector recto de flecha 3"/>
              <wp:cNvGraphicFramePr/>
              <a:graphic xmlns:a="http://schemas.openxmlformats.org/drawingml/2006/main">
                <a:graphicData uri="http://schemas.microsoft.com/office/word/2010/wordprocessingShape">
                  <wps:wsp>
                    <wps:cNvCnPr/>
                    <wps:spPr>
                      <a:xfrm rot="10800000" flipH="1">
                        <a:off x="2602800" y="3778413"/>
                        <a:ext cx="5486400" cy="3175"/>
                      </a:xfrm>
                      <a:prstGeom prst="straightConnector1">
                        <a:avLst/>
                      </a:prstGeom>
                      <a:noFill/>
                      <a:ln w="57150" cap="flat" cmpd="thinThick">
                        <a:solidFill>
                          <a:srgbClr val="00008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5486400" cy="5715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86400" cy="57150"/>
                      </a:xfrm>
                      <a:prstGeom prst="rect"/>
                      <a:ln/>
                    </pic:spPr>
                  </pic:pic>
                </a:graphicData>
              </a:graphic>
            </wp:anchor>
          </w:drawing>
        </mc:Fallback>
      </mc:AlternateContent>
    </w:r>
    <w:r>
      <w:rPr>
        <w:noProof/>
        <w:lang w:val="en-US" w:eastAsia="en-US"/>
      </w:rPr>
      <w:drawing>
        <wp:anchor distT="0" distB="0" distL="114300" distR="114300" simplePos="0" relativeHeight="251661312" behindDoc="0" locked="0" layoutInCell="1" hidden="0" allowOverlap="1">
          <wp:simplePos x="0" y="0"/>
          <wp:positionH relativeFrom="column">
            <wp:posOffset>5206365</wp:posOffset>
          </wp:positionH>
          <wp:positionV relativeFrom="paragraph">
            <wp:posOffset>-152399</wp:posOffset>
          </wp:positionV>
          <wp:extent cx="819150" cy="542925"/>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19150" cy="54292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E" w:rsidRDefault="00D328BF">
    <w:pPr>
      <w:pBdr>
        <w:top w:val="nil"/>
        <w:left w:val="nil"/>
        <w:bottom w:val="nil"/>
        <w:right w:val="nil"/>
        <w:between w:val="nil"/>
      </w:pBdr>
      <w:tabs>
        <w:tab w:val="center" w:pos="4320"/>
        <w:tab w:val="right" w:pos="8640"/>
      </w:tabs>
      <w:rPr>
        <w:rFonts w:ascii="Arial" w:eastAsia="Arial" w:hAnsi="Arial" w:cs="Arial"/>
        <w:color w:val="000000"/>
        <w:sz w:val="16"/>
        <w:szCs w:val="16"/>
      </w:rPr>
    </w:pPr>
    <w:r>
      <w:rPr>
        <w:noProof/>
        <w:lang w:val="en-US" w:eastAsia="en-US"/>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-12699</wp:posOffset>
              </wp:positionV>
              <wp:extent cx="5486400" cy="5715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602800" y="3778413"/>
                        <a:ext cx="5486400" cy="3175"/>
                      </a:xfrm>
                      <a:prstGeom prst="straightConnector1">
                        <a:avLst/>
                      </a:prstGeom>
                      <a:noFill/>
                      <a:ln w="57150" cap="flat" cmpd="thinThick">
                        <a:solidFill>
                          <a:srgbClr val="00008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5486400" cy="5715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400" cy="571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90" w:rsidRDefault="00EC6E90">
      <w:r>
        <w:separator/>
      </w:r>
    </w:p>
  </w:footnote>
  <w:footnote w:type="continuationSeparator" w:id="0">
    <w:p w:rsidR="00EC6E90" w:rsidRDefault="00EC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E" w:rsidRDefault="00D328BF">
    <w:pPr>
      <w:pBdr>
        <w:top w:val="nil"/>
        <w:left w:val="nil"/>
        <w:bottom w:val="nil"/>
        <w:right w:val="nil"/>
        <w:between w:val="nil"/>
      </w:pBdr>
      <w:tabs>
        <w:tab w:val="center" w:pos="4320"/>
        <w:tab w:val="right" w:pos="8640"/>
      </w:tabs>
      <w:rPr>
        <w:color w:val="00000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749300</wp:posOffset>
              </wp:positionH>
              <wp:positionV relativeFrom="paragraph">
                <wp:posOffset>-2362199</wp:posOffset>
              </wp:positionV>
              <wp:extent cx="5486936" cy="5486936"/>
              <wp:effectExtent l="0" t="0" r="0" b="0"/>
              <wp:wrapNone/>
              <wp:docPr id="2" name="Rectángulo 2"/>
              <wp:cNvGraphicFramePr/>
              <a:graphic xmlns:a="http://schemas.openxmlformats.org/drawingml/2006/main">
                <a:graphicData uri="http://schemas.microsoft.com/office/word/2010/wordprocessingShape">
                  <wps:wsp>
                    <wps:cNvSpPr/>
                    <wps:spPr>
                      <a:xfrm rot="-2700000">
                        <a:off x="1844293" y="3411383"/>
                        <a:ext cx="7003415" cy="737235"/>
                      </a:xfrm>
                      <a:prstGeom prst="rect">
                        <a:avLst/>
                      </a:prstGeom>
                      <a:solidFill>
                        <a:srgbClr val="999999">
                          <a:alpha val="49803"/>
                        </a:srgbClr>
                      </a:solidFill>
                      <a:ln>
                        <a:noFill/>
                      </a:ln>
                    </wps:spPr>
                    <wps:txbx>
                      <w:txbxContent>
                        <w:p w:rsidR="004A368E" w:rsidRDefault="004A368E">
                          <w:pPr>
                            <w:textDirection w:val="btLr"/>
                          </w:pPr>
                        </w:p>
                      </w:txbxContent>
                    </wps:txbx>
                    <wps:bodyPr spcFirstLastPara="1" wrap="square" lIns="91425" tIns="91425" rIns="91425" bIns="91425" anchor="ctr" anchorCtr="0">
                      <a:noAutofit/>
                    </wps:bodyPr>
                  </wps:wsp>
                </a:graphicData>
              </a:graphic>
            </wp:anchor>
          </w:drawing>
        </mc:Choice>
        <mc:Fallback>
          <w:pict>
            <v:rect id="Rectángulo 2" o:spid="_x0000_s1026" style="position:absolute;margin-left:59pt;margin-top:-186pt;width:432.05pt;height:432.05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2DAAIAAN0DAAAOAAAAZHJzL2Uyb0RvYy54bWysU9uO0zAQfUfiHyy/b3Pr0ouartCuipBW&#10;ULHsB7iO01hybDN2m/Rz+BZ+jLEdlsK+IfxgeSbHZ84cTzZ3Y6/IWYCTRte0mOWUCM1NI/Wxps9f&#10;dzdLSpxnumHKaFHTi3D0bvv2zWawa1GazqhGAEES7daDrWnnvV1nmeOd6JmbGSs0fmwN9MxjCMes&#10;ATYge6+yMs/fZYOBxoLhwjnMPqSPdBv521Zw/7ltnfBE1RS1+bhD3A9hz7Ybtj4Cs53kkwz2Dyp6&#10;JjUWfaF6YJ6RE8hXVL3kYJxp/YybPjNtK7mIPWA3Rf5XN08dsyL2guY4+2KT+3+0/NN5D0Q2NS0p&#10;0azHJ/qCpv34ro8nZUgZDBqsWyPuye5hihweQ7djCz0Bg67elIs8rGgCtkVGnIblfF6uKkouNa3m&#10;RVEtq+S3GD3hCMArmL+lhCNiUS3K6jYAskQcClhw/oMwPQmHmgJKixXY+dH5BP0FCXBnlGx2UqkY&#10;wPFwr4CcGb79Kq50V9mOpex8tcyjJizpEjyW/4NH6cCmTeBNJUMmC64kH8LJj4dxMudgmgt66izf&#10;SVT9yJzfM8CpKigZcNJq6r6dGAhK1EeNT7kq5iV64K8DuA4O1wHTvDM4wNwDJSm493Ggk8r3J29a&#10;Gb0JupKYSS7OUGxvmvcwpNdxRP3+K7c/AQAA//8DAFBLAwQUAAYACAAAACEAbDNMA98AAAAMAQAA&#10;DwAAAGRycy9kb3ducmV2LnhtbEyPwU7DMBBE70j8g7VI3FonAbVpiFOVIm6IisAHbOMlCYntyHbb&#10;8PcsJ7jNaEezb8rtbEZxJh96ZxWkywQE2cbp3rYKPt6fFzmIENFqHJ0lBd8UYFtdX5VYaHexb3Su&#10;Yyu4xIYCFXQxToWUoenIYFi6iSzfPp03GNn6VmqPFy43o8ySZCUN9pY/dDjRvqNmqE9Gwe5lvx5W&#10;ST3NB4w+HV4fv/zTrNTtzbx7ABFpjn9h+MVndKiY6ehOVgcxsk9z3hIVLO7WGSuObPIsBXFUcL9h&#10;IatS/h9R/QAAAP//AwBQSwECLQAUAAYACAAAACEAtoM4kv4AAADhAQAAEwAAAAAAAAAAAAAAAAAA&#10;AAAAW0NvbnRlbnRfVHlwZXNdLnhtbFBLAQItABQABgAIAAAAIQA4/SH/1gAAAJQBAAALAAAAAAAA&#10;AAAAAAAAAC8BAABfcmVscy8ucmVsc1BLAQItABQABgAIAAAAIQC4qE2DAAIAAN0DAAAOAAAAAAAA&#10;AAAAAAAAAC4CAABkcnMvZTJvRG9jLnhtbFBLAQItABQABgAIAAAAIQBsM0wD3wAAAAwBAAAPAAAA&#10;AAAAAAAAAAAAAFoEAABkcnMvZG93bnJldi54bWxQSwUGAAAAAAQABADzAAAAZgUAAAAA&#10;" fillcolor="#999" stroked="f">
              <v:fill opacity="32639f"/>
              <v:textbox inset="2.53958mm,2.53958mm,2.53958mm,2.53958mm">
                <w:txbxContent>
                  <w:p w:rsidR="004A368E" w:rsidRDefault="004A368E">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1E" w:rsidRDefault="00CB031E" w:rsidP="00CB031E">
    <w:pPr>
      <w:widowControl w:val="0"/>
      <w:pBdr>
        <w:top w:val="nil"/>
        <w:left w:val="nil"/>
        <w:bottom w:val="nil"/>
        <w:right w:val="nil"/>
        <w:between w:val="nil"/>
      </w:pBdr>
      <w:spacing w:line="276" w:lineRule="auto"/>
      <w:rPr>
        <w:color w:val="000000"/>
      </w:rPr>
    </w:pPr>
  </w:p>
  <w:tbl>
    <w:tblPr>
      <w:tblStyle w:val="a6"/>
      <w:tblW w:w="9498"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1567"/>
      <w:gridCol w:w="1571"/>
      <w:gridCol w:w="1257"/>
      <w:gridCol w:w="3544"/>
      <w:gridCol w:w="1559"/>
    </w:tblGrid>
    <w:tr w:rsidR="00CB031E" w:rsidTr="00FF6431">
      <w:trPr>
        <w:trHeight w:val="1401"/>
      </w:trPr>
      <w:tc>
        <w:tcPr>
          <w:tcW w:w="1567" w:type="dxa"/>
          <w:vAlign w:val="center"/>
        </w:tcPr>
        <w:p w:rsidR="00CB031E" w:rsidRDefault="00CB031E" w:rsidP="00CB031E">
          <w:pPr>
            <w:pBdr>
              <w:top w:val="nil"/>
              <w:left w:val="nil"/>
              <w:bottom w:val="nil"/>
              <w:right w:val="nil"/>
              <w:between w:val="nil"/>
            </w:pBdr>
            <w:tabs>
              <w:tab w:val="center" w:pos="4320"/>
              <w:tab w:val="right" w:pos="8640"/>
            </w:tabs>
            <w:jc w:val="center"/>
            <w:rPr>
              <w:rFonts w:ascii="Arial" w:eastAsia="Arial" w:hAnsi="Arial" w:cs="Arial"/>
              <w:color w:val="000080"/>
              <w:sz w:val="28"/>
              <w:szCs w:val="28"/>
            </w:rPr>
          </w:pPr>
          <w:r>
            <w:rPr>
              <w:rFonts w:ascii="Arial" w:eastAsia="Arial" w:hAnsi="Arial" w:cs="Arial"/>
              <w:noProof/>
              <w:color w:val="000080"/>
              <w:sz w:val="28"/>
              <w:szCs w:val="28"/>
              <w:lang w:val="en-US" w:eastAsia="en-US"/>
            </w:rPr>
            <w:drawing>
              <wp:inline distT="0" distB="0" distL="114300" distR="114300" wp14:anchorId="63D92000" wp14:editId="1BAD91D2">
                <wp:extent cx="677545" cy="947420"/>
                <wp:effectExtent l="0" t="0" r="8255" b="508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7545" cy="947420"/>
                        </a:xfrm>
                        <a:prstGeom prst="rect">
                          <a:avLst/>
                        </a:prstGeom>
                        <a:ln/>
                      </pic:spPr>
                    </pic:pic>
                  </a:graphicData>
                </a:graphic>
              </wp:inline>
            </w:drawing>
          </w:r>
        </w:p>
      </w:tc>
      <w:tc>
        <w:tcPr>
          <w:tcW w:w="7931" w:type="dxa"/>
          <w:gridSpan w:val="4"/>
          <w:vAlign w:val="center"/>
        </w:tcPr>
        <w:p w:rsidR="00CB031E" w:rsidRDefault="00CB031E" w:rsidP="00CB031E">
          <w:pPr>
            <w:jc w:val="center"/>
            <w:rPr>
              <w:rFonts w:ascii="Arial" w:eastAsia="Arial" w:hAnsi="Arial" w:cs="Arial"/>
              <w:color w:val="000080"/>
            </w:rPr>
          </w:pPr>
          <w:r>
            <w:rPr>
              <w:rFonts w:ascii="Arial" w:eastAsia="Arial" w:hAnsi="Arial" w:cs="Arial"/>
              <w:color w:val="000080"/>
            </w:rPr>
            <w:t>Proceso de Apoyo</w:t>
          </w:r>
        </w:p>
        <w:p w:rsidR="00CB031E" w:rsidRDefault="00CB031E" w:rsidP="00CB031E">
          <w:pPr>
            <w:jc w:val="center"/>
            <w:rPr>
              <w:rFonts w:ascii="Arial" w:eastAsia="Arial" w:hAnsi="Arial" w:cs="Arial"/>
              <w:color w:val="000080"/>
            </w:rPr>
          </w:pPr>
          <w:r>
            <w:rPr>
              <w:rFonts w:ascii="Arial" w:eastAsia="Arial" w:hAnsi="Arial" w:cs="Arial"/>
              <w:color w:val="000080"/>
            </w:rPr>
            <w:t>Gestión Administrativa y Financiera</w:t>
          </w:r>
        </w:p>
        <w:p w:rsidR="00CB031E" w:rsidRPr="003F41EF" w:rsidRDefault="00CB031E" w:rsidP="00CB031E">
          <w:pPr>
            <w:jc w:val="center"/>
            <w:rPr>
              <w:rFonts w:ascii="Arial" w:eastAsia="Arial" w:hAnsi="Arial" w:cs="Arial"/>
              <w:color w:val="000080"/>
            </w:rPr>
          </w:pPr>
          <w:r>
            <w:rPr>
              <w:rFonts w:ascii="Arial" w:eastAsia="Arial" w:hAnsi="Arial" w:cs="Arial"/>
              <w:color w:val="000080"/>
            </w:rPr>
            <w:t>Facturación y Recaudo estampilla Pro Universidad del Cauca</w:t>
          </w:r>
        </w:p>
      </w:tc>
    </w:tr>
    <w:tr w:rsidR="00CB031E" w:rsidTr="00A37735">
      <w:trPr>
        <w:trHeight w:val="27"/>
      </w:trPr>
      <w:tc>
        <w:tcPr>
          <w:tcW w:w="3138" w:type="dxa"/>
          <w:gridSpan w:val="2"/>
          <w:vAlign w:val="center"/>
        </w:tcPr>
        <w:p w:rsidR="00CB031E" w:rsidRDefault="00CB031E" w:rsidP="00322D23">
          <w:pPr>
            <w:pBdr>
              <w:top w:val="nil"/>
              <w:left w:val="nil"/>
              <w:bottom w:val="nil"/>
              <w:right w:val="nil"/>
              <w:between w:val="nil"/>
            </w:pBdr>
            <w:tabs>
              <w:tab w:val="center" w:pos="4320"/>
              <w:tab w:val="right" w:pos="8640"/>
            </w:tabs>
            <w:rPr>
              <w:color w:val="000080"/>
            </w:rPr>
          </w:pPr>
          <w:r>
            <w:rPr>
              <w:rFonts w:ascii="Arial" w:eastAsia="Arial" w:hAnsi="Arial" w:cs="Arial"/>
              <w:color w:val="333399"/>
              <w:sz w:val="20"/>
              <w:szCs w:val="20"/>
            </w:rPr>
            <w:t>Código:</w:t>
          </w:r>
          <w:r>
            <w:t xml:space="preserve"> </w:t>
          </w:r>
          <w:r w:rsidR="00A37735" w:rsidRPr="00A37735">
            <w:rPr>
              <w:rFonts w:ascii="Arial" w:eastAsia="Arial" w:hAnsi="Arial" w:cs="Arial"/>
              <w:color w:val="333399"/>
              <w:sz w:val="20"/>
              <w:szCs w:val="20"/>
            </w:rPr>
            <w:t>PA-GA-5.2-IN-2</w:t>
          </w:r>
        </w:p>
      </w:tc>
      <w:tc>
        <w:tcPr>
          <w:tcW w:w="1257" w:type="dxa"/>
          <w:vAlign w:val="center"/>
        </w:tcPr>
        <w:p w:rsidR="00CB031E" w:rsidRDefault="00CB031E" w:rsidP="00CB031E">
          <w:pPr>
            <w:pBdr>
              <w:top w:val="nil"/>
              <w:left w:val="nil"/>
              <w:bottom w:val="nil"/>
              <w:right w:val="nil"/>
              <w:between w:val="nil"/>
            </w:pBdr>
            <w:tabs>
              <w:tab w:val="center" w:pos="4320"/>
              <w:tab w:val="right" w:pos="8640"/>
            </w:tabs>
            <w:rPr>
              <w:rFonts w:ascii="Arial" w:eastAsia="Arial" w:hAnsi="Arial" w:cs="Arial"/>
              <w:color w:val="000080"/>
              <w:sz w:val="20"/>
              <w:szCs w:val="20"/>
            </w:rPr>
          </w:pPr>
          <w:r>
            <w:rPr>
              <w:rFonts w:ascii="Arial" w:eastAsia="Arial" w:hAnsi="Arial" w:cs="Arial"/>
              <w:color w:val="000080"/>
              <w:sz w:val="20"/>
              <w:szCs w:val="20"/>
            </w:rPr>
            <w:t>Versión: 1</w:t>
          </w:r>
        </w:p>
      </w:tc>
      <w:tc>
        <w:tcPr>
          <w:tcW w:w="3544" w:type="dxa"/>
          <w:vAlign w:val="center"/>
        </w:tcPr>
        <w:p w:rsidR="00CB031E" w:rsidRDefault="00CB031E" w:rsidP="00CB031E">
          <w:pPr>
            <w:pBdr>
              <w:top w:val="nil"/>
              <w:left w:val="nil"/>
              <w:bottom w:val="nil"/>
              <w:right w:val="nil"/>
              <w:between w:val="nil"/>
            </w:pBdr>
            <w:tabs>
              <w:tab w:val="center" w:pos="4320"/>
              <w:tab w:val="right" w:pos="8640"/>
            </w:tabs>
            <w:rPr>
              <w:rFonts w:ascii="Arial" w:eastAsia="Arial" w:hAnsi="Arial" w:cs="Arial"/>
              <w:color w:val="000080"/>
              <w:sz w:val="20"/>
              <w:szCs w:val="20"/>
            </w:rPr>
          </w:pPr>
          <w:r>
            <w:rPr>
              <w:rFonts w:ascii="Arial" w:eastAsia="Arial" w:hAnsi="Arial" w:cs="Arial"/>
              <w:color w:val="000080"/>
              <w:sz w:val="20"/>
              <w:szCs w:val="20"/>
            </w:rPr>
            <w:t>Fecha de Actualización: 17-06-2021</w:t>
          </w:r>
        </w:p>
      </w:tc>
      <w:tc>
        <w:tcPr>
          <w:tcW w:w="1559" w:type="dxa"/>
        </w:tcPr>
        <w:p w:rsidR="00CB031E" w:rsidRDefault="00CB031E" w:rsidP="00CB031E">
          <w:pPr>
            <w:pBdr>
              <w:top w:val="nil"/>
              <w:left w:val="nil"/>
              <w:bottom w:val="nil"/>
              <w:right w:val="nil"/>
              <w:between w:val="nil"/>
            </w:pBdr>
            <w:tabs>
              <w:tab w:val="center" w:pos="4320"/>
              <w:tab w:val="right" w:pos="8640"/>
            </w:tabs>
            <w:jc w:val="center"/>
            <w:rPr>
              <w:rFonts w:ascii="Arial" w:eastAsia="Arial" w:hAnsi="Arial" w:cs="Arial"/>
              <w:color w:val="000080"/>
              <w:sz w:val="20"/>
              <w:szCs w:val="20"/>
            </w:rPr>
          </w:pPr>
          <w:r>
            <w:rPr>
              <w:rFonts w:ascii="Arial" w:eastAsia="Arial" w:hAnsi="Arial" w:cs="Arial"/>
              <w:color w:val="000080"/>
              <w:sz w:val="20"/>
              <w:szCs w:val="20"/>
            </w:rPr>
            <w:t xml:space="preserve">Página </w:t>
          </w:r>
          <w:r>
            <w:rPr>
              <w:rFonts w:ascii="Arial" w:eastAsia="Arial" w:hAnsi="Arial" w:cs="Arial"/>
              <w:color w:val="000080"/>
              <w:sz w:val="20"/>
              <w:szCs w:val="20"/>
            </w:rPr>
            <w:fldChar w:fldCharType="begin"/>
          </w:r>
          <w:r>
            <w:rPr>
              <w:rFonts w:ascii="Arial" w:eastAsia="Arial" w:hAnsi="Arial" w:cs="Arial"/>
              <w:color w:val="000080"/>
              <w:sz w:val="20"/>
              <w:szCs w:val="20"/>
            </w:rPr>
            <w:instrText>PAGE</w:instrText>
          </w:r>
          <w:r>
            <w:rPr>
              <w:rFonts w:ascii="Arial" w:eastAsia="Arial" w:hAnsi="Arial" w:cs="Arial"/>
              <w:color w:val="000080"/>
              <w:sz w:val="20"/>
              <w:szCs w:val="20"/>
            </w:rPr>
            <w:fldChar w:fldCharType="separate"/>
          </w:r>
          <w:r w:rsidR="00DF7B6C">
            <w:rPr>
              <w:rFonts w:ascii="Arial" w:eastAsia="Arial" w:hAnsi="Arial" w:cs="Arial"/>
              <w:noProof/>
              <w:color w:val="000080"/>
              <w:sz w:val="20"/>
              <w:szCs w:val="20"/>
            </w:rPr>
            <w:t>4</w:t>
          </w:r>
          <w:r>
            <w:rPr>
              <w:rFonts w:ascii="Arial" w:eastAsia="Arial" w:hAnsi="Arial" w:cs="Arial"/>
              <w:color w:val="000080"/>
              <w:sz w:val="20"/>
              <w:szCs w:val="20"/>
            </w:rPr>
            <w:fldChar w:fldCharType="end"/>
          </w:r>
          <w:r>
            <w:rPr>
              <w:rFonts w:ascii="Arial" w:eastAsia="Arial" w:hAnsi="Arial" w:cs="Arial"/>
              <w:color w:val="000080"/>
              <w:sz w:val="20"/>
              <w:szCs w:val="20"/>
            </w:rPr>
            <w:t xml:space="preserve"> de </w:t>
          </w:r>
          <w:r>
            <w:rPr>
              <w:rFonts w:ascii="Arial" w:eastAsia="Arial" w:hAnsi="Arial" w:cs="Arial"/>
              <w:color w:val="000080"/>
              <w:sz w:val="20"/>
              <w:szCs w:val="20"/>
            </w:rPr>
            <w:fldChar w:fldCharType="begin"/>
          </w:r>
          <w:r>
            <w:rPr>
              <w:rFonts w:ascii="Arial" w:eastAsia="Arial" w:hAnsi="Arial" w:cs="Arial"/>
              <w:color w:val="000080"/>
              <w:sz w:val="20"/>
              <w:szCs w:val="20"/>
            </w:rPr>
            <w:instrText>NUMPAGES</w:instrText>
          </w:r>
          <w:r>
            <w:rPr>
              <w:rFonts w:ascii="Arial" w:eastAsia="Arial" w:hAnsi="Arial" w:cs="Arial"/>
              <w:color w:val="000080"/>
              <w:sz w:val="20"/>
              <w:szCs w:val="20"/>
            </w:rPr>
            <w:fldChar w:fldCharType="separate"/>
          </w:r>
          <w:r w:rsidR="00DF7B6C">
            <w:rPr>
              <w:rFonts w:ascii="Arial" w:eastAsia="Arial" w:hAnsi="Arial" w:cs="Arial"/>
              <w:noProof/>
              <w:color w:val="000080"/>
              <w:sz w:val="20"/>
              <w:szCs w:val="20"/>
            </w:rPr>
            <w:t>5</w:t>
          </w:r>
          <w:r>
            <w:rPr>
              <w:rFonts w:ascii="Arial" w:eastAsia="Arial" w:hAnsi="Arial" w:cs="Arial"/>
              <w:color w:val="000080"/>
              <w:sz w:val="20"/>
              <w:szCs w:val="20"/>
            </w:rPr>
            <w:fldChar w:fldCharType="end"/>
          </w:r>
        </w:p>
      </w:tc>
    </w:tr>
  </w:tbl>
  <w:p w:rsidR="004A368E" w:rsidRDefault="004A368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E" w:rsidRDefault="004A368E">
    <w:pPr>
      <w:widowControl w:val="0"/>
      <w:pBdr>
        <w:top w:val="nil"/>
        <w:left w:val="nil"/>
        <w:bottom w:val="nil"/>
        <w:right w:val="nil"/>
        <w:between w:val="nil"/>
      </w:pBdr>
      <w:spacing w:line="276" w:lineRule="auto"/>
      <w:rPr>
        <w:color w:val="000000"/>
      </w:rPr>
    </w:pPr>
  </w:p>
  <w:tbl>
    <w:tblPr>
      <w:tblStyle w:val="a5"/>
      <w:tblW w:w="9498"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1418"/>
      <w:gridCol w:w="1701"/>
      <w:gridCol w:w="1559"/>
      <w:gridCol w:w="3402"/>
      <w:gridCol w:w="1418"/>
    </w:tblGrid>
    <w:tr w:rsidR="004A368E">
      <w:trPr>
        <w:trHeight w:val="1246"/>
      </w:trPr>
      <w:tc>
        <w:tcPr>
          <w:tcW w:w="0" w:type="auto"/>
          <w:vAlign w:val="center"/>
        </w:tcPr>
        <w:p w:rsidR="004A368E" w:rsidRDefault="00D328BF">
          <w:pPr>
            <w:pBdr>
              <w:top w:val="nil"/>
              <w:left w:val="nil"/>
              <w:bottom w:val="nil"/>
              <w:right w:val="nil"/>
              <w:between w:val="nil"/>
            </w:pBdr>
            <w:tabs>
              <w:tab w:val="center" w:pos="4320"/>
              <w:tab w:val="right" w:pos="8640"/>
            </w:tabs>
            <w:jc w:val="center"/>
            <w:rPr>
              <w:rFonts w:ascii="Arial" w:eastAsia="Arial" w:hAnsi="Arial" w:cs="Arial"/>
              <w:color w:val="000080"/>
              <w:sz w:val="28"/>
              <w:szCs w:val="28"/>
            </w:rPr>
          </w:pPr>
          <w:r>
            <w:rPr>
              <w:noProof/>
              <w:lang w:val="en-US" w:eastAsia="en-US"/>
            </w:rPr>
            <w:drawing>
              <wp:anchor distT="0" distB="0" distL="114300" distR="114300" simplePos="0" relativeHeight="251658240" behindDoc="0" locked="0" layoutInCell="1" hidden="0" allowOverlap="1">
                <wp:simplePos x="0" y="0"/>
                <wp:positionH relativeFrom="column">
                  <wp:posOffset>40641</wp:posOffset>
                </wp:positionH>
                <wp:positionV relativeFrom="paragraph">
                  <wp:posOffset>45720</wp:posOffset>
                </wp:positionV>
                <wp:extent cx="666750" cy="679450"/>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6750" cy="679450"/>
                        </a:xfrm>
                        <a:prstGeom prst="rect">
                          <a:avLst/>
                        </a:prstGeom>
                        <a:ln/>
                      </pic:spPr>
                    </pic:pic>
                  </a:graphicData>
                </a:graphic>
              </wp:anchor>
            </w:drawing>
          </w:r>
        </w:p>
      </w:tc>
      <w:tc>
        <w:tcPr>
          <w:tcW w:w="0" w:type="auto"/>
          <w:gridSpan w:val="4"/>
        </w:tcPr>
        <w:p w:rsidR="004A368E" w:rsidRDefault="004A368E">
          <w:pPr>
            <w:pBdr>
              <w:top w:val="nil"/>
              <w:left w:val="nil"/>
              <w:bottom w:val="nil"/>
              <w:right w:val="nil"/>
              <w:between w:val="nil"/>
            </w:pBdr>
            <w:tabs>
              <w:tab w:val="center" w:pos="4320"/>
              <w:tab w:val="right" w:pos="8640"/>
            </w:tabs>
            <w:jc w:val="center"/>
            <w:rPr>
              <w:rFonts w:ascii="Arial" w:eastAsia="Arial" w:hAnsi="Arial" w:cs="Arial"/>
              <w:color w:val="000080"/>
              <w:sz w:val="28"/>
              <w:szCs w:val="28"/>
            </w:rPr>
          </w:pPr>
        </w:p>
        <w:p w:rsidR="004A368E" w:rsidRDefault="004A368E">
          <w:pPr>
            <w:jc w:val="center"/>
            <w:rPr>
              <w:rFonts w:ascii="Arial" w:eastAsia="Arial" w:hAnsi="Arial" w:cs="Arial"/>
              <w:color w:val="000080"/>
            </w:rPr>
          </w:pPr>
        </w:p>
        <w:p w:rsidR="004A368E" w:rsidRDefault="00D328BF">
          <w:pPr>
            <w:jc w:val="center"/>
            <w:rPr>
              <w:rFonts w:ascii="Arial" w:eastAsia="Arial" w:hAnsi="Arial" w:cs="Arial"/>
              <w:color w:val="000080"/>
              <w:u w:val="single"/>
            </w:rPr>
          </w:pPr>
          <w:r>
            <w:rPr>
              <w:rFonts w:ascii="Arial" w:eastAsia="Arial" w:hAnsi="Arial" w:cs="Arial"/>
              <w:color w:val="000080"/>
            </w:rPr>
            <w:t>Nombre del Documento a desarrollar</w:t>
          </w:r>
        </w:p>
        <w:p w:rsidR="004A368E" w:rsidRDefault="004A368E">
          <w:pPr>
            <w:pBdr>
              <w:top w:val="nil"/>
              <w:left w:val="nil"/>
              <w:bottom w:val="nil"/>
              <w:right w:val="nil"/>
              <w:between w:val="nil"/>
            </w:pBdr>
            <w:tabs>
              <w:tab w:val="center" w:pos="4320"/>
              <w:tab w:val="right" w:pos="8640"/>
            </w:tabs>
            <w:jc w:val="center"/>
            <w:rPr>
              <w:rFonts w:ascii="Arial" w:eastAsia="Arial" w:hAnsi="Arial" w:cs="Arial"/>
              <w:color w:val="000080"/>
            </w:rPr>
          </w:pPr>
        </w:p>
      </w:tc>
    </w:tr>
    <w:tr w:rsidR="004A368E">
      <w:trPr>
        <w:trHeight w:val="27"/>
      </w:trPr>
      <w:tc>
        <w:tcPr>
          <w:tcW w:w="0" w:type="auto"/>
          <w:gridSpan w:val="2"/>
          <w:vAlign w:val="center"/>
        </w:tcPr>
        <w:p w:rsidR="004A368E" w:rsidRDefault="00D328BF">
          <w:pPr>
            <w:pBdr>
              <w:top w:val="nil"/>
              <w:left w:val="nil"/>
              <w:bottom w:val="nil"/>
              <w:right w:val="nil"/>
              <w:between w:val="nil"/>
            </w:pBdr>
            <w:tabs>
              <w:tab w:val="center" w:pos="4320"/>
              <w:tab w:val="right" w:pos="8640"/>
            </w:tabs>
            <w:jc w:val="center"/>
            <w:rPr>
              <w:color w:val="000080"/>
            </w:rPr>
          </w:pPr>
          <w:r>
            <w:rPr>
              <w:rFonts w:ascii="Arial" w:eastAsia="Arial" w:hAnsi="Arial" w:cs="Arial"/>
              <w:color w:val="333399"/>
              <w:sz w:val="20"/>
              <w:szCs w:val="20"/>
            </w:rPr>
            <w:t xml:space="preserve">Código: </w:t>
          </w:r>
        </w:p>
      </w:tc>
      <w:tc>
        <w:tcPr>
          <w:tcW w:w="0" w:type="auto"/>
          <w:vAlign w:val="center"/>
        </w:tcPr>
        <w:p w:rsidR="004A368E" w:rsidRDefault="00D328BF">
          <w:pPr>
            <w:pBdr>
              <w:top w:val="nil"/>
              <w:left w:val="nil"/>
              <w:bottom w:val="nil"/>
              <w:right w:val="nil"/>
              <w:between w:val="nil"/>
            </w:pBdr>
            <w:tabs>
              <w:tab w:val="center" w:pos="4320"/>
              <w:tab w:val="right" w:pos="8640"/>
            </w:tabs>
            <w:jc w:val="center"/>
            <w:rPr>
              <w:rFonts w:ascii="Arial" w:eastAsia="Arial" w:hAnsi="Arial" w:cs="Arial"/>
              <w:color w:val="000080"/>
              <w:sz w:val="20"/>
              <w:szCs w:val="20"/>
            </w:rPr>
          </w:pPr>
          <w:r>
            <w:rPr>
              <w:rFonts w:ascii="Arial" w:eastAsia="Arial" w:hAnsi="Arial" w:cs="Arial"/>
              <w:color w:val="000080"/>
              <w:sz w:val="20"/>
              <w:szCs w:val="20"/>
            </w:rPr>
            <w:t xml:space="preserve">Versión: </w:t>
          </w:r>
        </w:p>
      </w:tc>
      <w:tc>
        <w:tcPr>
          <w:tcW w:w="0" w:type="auto"/>
          <w:vAlign w:val="center"/>
        </w:tcPr>
        <w:p w:rsidR="004A368E" w:rsidRDefault="00D328BF">
          <w:pPr>
            <w:pBdr>
              <w:top w:val="nil"/>
              <w:left w:val="nil"/>
              <w:bottom w:val="nil"/>
              <w:right w:val="nil"/>
              <w:between w:val="nil"/>
            </w:pBdr>
            <w:tabs>
              <w:tab w:val="center" w:pos="4320"/>
              <w:tab w:val="right" w:pos="8640"/>
            </w:tabs>
            <w:jc w:val="center"/>
            <w:rPr>
              <w:rFonts w:ascii="Arial" w:eastAsia="Arial" w:hAnsi="Arial" w:cs="Arial"/>
              <w:color w:val="000080"/>
              <w:sz w:val="20"/>
              <w:szCs w:val="20"/>
            </w:rPr>
          </w:pPr>
          <w:r>
            <w:rPr>
              <w:rFonts w:ascii="Arial" w:eastAsia="Arial" w:hAnsi="Arial" w:cs="Arial"/>
              <w:color w:val="000080"/>
              <w:sz w:val="20"/>
              <w:szCs w:val="20"/>
            </w:rPr>
            <w:t>Fecha  de actualización:</w:t>
          </w:r>
        </w:p>
      </w:tc>
      <w:tc>
        <w:tcPr>
          <w:tcW w:w="0" w:type="auto"/>
        </w:tcPr>
        <w:p w:rsidR="004A368E" w:rsidRDefault="00D328BF">
          <w:pPr>
            <w:pBdr>
              <w:top w:val="nil"/>
              <w:left w:val="nil"/>
              <w:bottom w:val="nil"/>
              <w:right w:val="nil"/>
              <w:between w:val="nil"/>
            </w:pBdr>
            <w:tabs>
              <w:tab w:val="center" w:pos="4320"/>
              <w:tab w:val="right" w:pos="8640"/>
            </w:tabs>
            <w:jc w:val="center"/>
            <w:rPr>
              <w:rFonts w:ascii="Arial" w:eastAsia="Arial" w:hAnsi="Arial" w:cs="Arial"/>
              <w:color w:val="000080"/>
              <w:sz w:val="20"/>
              <w:szCs w:val="20"/>
            </w:rPr>
          </w:pPr>
          <w:r>
            <w:rPr>
              <w:rFonts w:ascii="Arial" w:eastAsia="Arial" w:hAnsi="Arial" w:cs="Arial"/>
              <w:color w:val="000080"/>
              <w:sz w:val="20"/>
              <w:szCs w:val="20"/>
            </w:rPr>
            <w:t>Página</w:t>
          </w:r>
        </w:p>
        <w:p w:rsidR="004A368E" w:rsidRDefault="00D328BF">
          <w:pPr>
            <w:pBdr>
              <w:top w:val="nil"/>
              <w:left w:val="nil"/>
              <w:bottom w:val="nil"/>
              <w:right w:val="nil"/>
              <w:between w:val="nil"/>
            </w:pBdr>
            <w:tabs>
              <w:tab w:val="center" w:pos="4320"/>
              <w:tab w:val="right" w:pos="8640"/>
            </w:tabs>
            <w:jc w:val="center"/>
            <w:rPr>
              <w:rFonts w:ascii="Arial" w:eastAsia="Arial" w:hAnsi="Arial" w:cs="Arial"/>
              <w:color w:val="000080"/>
              <w:sz w:val="20"/>
              <w:szCs w:val="20"/>
            </w:rPr>
          </w:pPr>
          <w:r>
            <w:rPr>
              <w:rFonts w:ascii="Arial" w:eastAsia="Arial" w:hAnsi="Arial" w:cs="Arial"/>
              <w:color w:val="000080"/>
              <w:sz w:val="20"/>
              <w:szCs w:val="20"/>
            </w:rPr>
            <w:fldChar w:fldCharType="begin"/>
          </w:r>
          <w:r>
            <w:rPr>
              <w:rFonts w:ascii="Arial" w:eastAsia="Arial" w:hAnsi="Arial" w:cs="Arial"/>
              <w:color w:val="000080"/>
              <w:sz w:val="20"/>
              <w:szCs w:val="20"/>
            </w:rPr>
            <w:instrText>PAGE</w:instrText>
          </w:r>
          <w:r>
            <w:rPr>
              <w:rFonts w:ascii="Arial" w:eastAsia="Arial" w:hAnsi="Arial" w:cs="Arial"/>
              <w:color w:val="000080"/>
              <w:sz w:val="20"/>
              <w:szCs w:val="20"/>
            </w:rPr>
            <w:fldChar w:fldCharType="end"/>
          </w:r>
          <w:r>
            <w:rPr>
              <w:rFonts w:ascii="Arial" w:eastAsia="Arial" w:hAnsi="Arial" w:cs="Arial"/>
              <w:color w:val="000080"/>
              <w:sz w:val="20"/>
              <w:szCs w:val="20"/>
            </w:rPr>
            <w:t xml:space="preserve"> de </w:t>
          </w:r>
          <w:r>
            <w:rPr>
              <w:rFonts w:ascii="Arial" w:eastAsia="Arial" w:hAnsi="Arial" w:cs="Arial"/>
              <w:color w:val="000080"/>
              <w:sz w:val="20"/>
              <w:szCs w:val="20"/>
            </w:rPr>
            <w:fldChar w:fldCharType="begin"/>
          </w:r>
          <w:r>
            <w:rPr>
              <w:rFonts w:ascii="Arial" w:eastAsia="Arial" w:hAnsi="Arial" w:cs="Arial"/>
              <w:color w:val="000080"/>
              <w:sz w:val="20"/>
              <w:szCs w:val="20"/>
            </w:rPr>
            <w:instrText>NUMPAGES</w:instrText>
          </w:r>
          <w:r w:rsidR="00DF7B6C">
            <w:rPr>
              <w:rFonts w:ascii="Arial" w:eastAsia="Arial" w:hAnsi="Arial" w:cs="Arial"/>
              <w:color w:val="000080"/>
              <w:sz w:val="20"/>
              <w:szCs w:val="20"/>
            </w:rPr>
            <w:fldChar w:fldCharType="separate"/>
          </w:r>
          <w:r w:rsidR="00DF7B6C">
            <w:rPr>
              <w:rFonts w:ascii="Arial" w:eastAsia="Arial" w:hAnsi="Arial" w:cs="Arial"/>
              <w:noProof/>
              <w:color w:val="000080"/>
              <w:sz w:val="20"/>
              <w:szCs w:val="20"/>
            </w:rPr>
            <w:t>5</w:t>
          </w:r>
          <w:r>
            <w:rPr>
              <w:rFonts w:ascii="Arial" w:eastAsia="Arial" w:hAnsi="Arial" w:cs="Arial"/>
              <w:color w:val="000080"/>
              <w:sz w:val="20"/>
              <w:szCs w:val="20"/>
            </w:rPr>
            <w:fldChar w:fldCharType="end"/>
          </w:r>
        </w:p>
      </w:tc>
    </w:tr>
  </w:tbl>
  <w:p w:rsidR="004A368E" w:rsidRDefault="004A368E">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8E"/>
    <w:rsid w:val="002B6D85"/>
    <w:rsid w:val="00322D23"/>
    <w:rsid w:val="003E32FC"/>
    <w:rsid w:val="003F41EF"/>
    <w:rsid w:val="004602B4"/>
    <w:rsid w:val="00485655"/>
    <w:rsid w:val="004A368E"/>
    <w:rsid w:val="004F1507"/>
    <w:rsid w:val="00573E59"/>
    <w:rsid w:val="00617B51"/>
    <w:rsid w:val="00631D0A"/>
    <w:rsid w:val="007C5635"/>
    <w:rsid w:val="008E2271"/>
    <w:rsid w:val="00A37735"/>
    <w:rsid w:val="00B549ED"/>
    <w:rsid w:val="00BB3779"/>
    <w:rsid w:val="00C72383"/>
    <w:rsid w:val="00CB031E"/>
    <w:rsid w:val="00CB1BFC"/>
    <w:rsid w:val="00D10094"/>
    <w:rsid w:val="00D328BF"/>
    <w:rsid w:val="00D6225C"/>
    <w:rsid w:val="00D907CA"/>
    <w:rsid w:val="00DA2DFB"/>
    <w:rsid w:val="00DC50CB"/>
    <w:rsid w:val="00DD0927"/>
    <w:rsid w:val="00DF7B6C"/>
    <w:rsid w:val="00E336BC"/>
    <w:rsid w:val="00E43801"/>
    <w:rsid w:val="00EC6E90"/>
    <w:rsid w:val="00ED5F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D6A6B-48AA-4BFF-B922-9052D4DD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3F41EF"/>
    <w:pPr>
      <w:tabs>
        <w:tab w:val="center" w:pos="4419"/>
        <w:tab w:val="right" w:pos="8838"/>
      </w:tabs>
    </w:pPr>
  </w:style>
  <w:style w:type="character" w:customStyle="1" w:styleId="PiedepginaCar">
    <w:name w:val="Pie de página Car"/>
    <w:basedOn w:val="Fuentedeprrafopredeter"/>
    <w:link w:val="Piedepgina"/>
    <w:uiPriority w:val="99"/>
    <w:rsid w:val="003F41EF"/>
  </w:style>
  <w:style w:type="character" w:styleId="Textoennegrita">
    <w:name w:val="Strong"/>
    <w:basedOn w:val="Fuentedeprrafopredeter"/>
    <w:uiPriority w:val="22"/>
    <w:qFormat/>
    <w:rsid w:val="00DA2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60.png"/></Relationships>
</file>

<file path=word/_rels/footer2.xml.rels><?xml version="1.0" encoding="UTF-8" standalone="yes"?>
<Relationships xmlns="http://schemas.openxmlformats.org/package/2006/relationships"><Relationship Id="rId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597</Words>
  <Characters>3403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MXL641194L</dc:creator>
  <cp:lastModifiedBy>ST-H5PJDW2</cp:lastModifiedBy>
  <cp:revision>9</cp:revision>
  <cp:lastPrinted>2021-06-22T01:09:00Z</cp:lastPrinted>
  <dcterms:created xsi:type="dcterms:W3CDTF">2021-06-18T17:12:00Z</dcterms:created>
  <dcterms:modified xsi:type="dcterms:W3CDTF">2021-06-22T03:17:00Z</dcterms:modified>
</cp:coreProperties>
</file>